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4C" w:rsidRPr="00EE734C" w:rsidRDefault="00EE734C" w:rsidP="0056218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734C">
        <w:rPr>
          <w:rFonts w:ascii="Arial" w:hAnsi="Arial" w:cs="Arial"/>
          <w:b/>
          <w:bCs/>
          <w:sz w:val="32"/>
          <w:szCs w:val="32"/>
        </w:rPr>
        <w:t>Faculty of Arts &amp; Humanities</w:t>
      </w:r>
    </w:p>
    <w:p w:rsidR="00562180" w:rsidRPr="00EE734C" w:rsidRDefault="00C91F2A" w:rsidP="0056218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734C">
        <w:rPr>
          <w:rFonts w:ascii="Arial" w:hAnsi="Arial" w:cs="Arial"/>
          <w:b/>
          <w:bCs/>
          <w:sz w:val="32"/>
          <w:szCs w:val="32"/>
        </w:rPr>
        <w:t>Upgrade Arrangements Form</w:t>
      </w:r>
    </w:p>
    <w:p w:rsidR="00C171E0" w:rsidRPr="00EE734C" w:rsidRDefault="00C171E0" w:rsidP="0056218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E734C">
        <w:rPr>
          <w:rFonts w:ascii="Arial" w:hAnsi="Arial" w:cs="Arial"/>
          <w:b/>
          <w:bCs/>
          <w:sz w:val="28"/>
          <w:szCs w:val="28"/>
        </w:rPr>
        <w:t>(For MPhil/PhD Students Who Began Their Studies Prior to 1 August 2016 Only)</w:t>
      </w:r>
    </w:p>
    <w:p w:rsidR="001970B8" w:rsidRPr="00EE734C" w:rsidRDefault="001970B8" w:rsidP="006678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E734C">
        <w:rPr>
          <w:rFonts w:ascii="Arial" w:hAnsi="Arial" w:cs="Arial"/>
          <w:b/>
          <w:bCs/>
          <w:sz w:val="20"/>
          <w:szCs w:val="20"/>
        </w:rPr>
        <w:t xml:space="preserve">THIS MUST BE COMPLETED AND RETURNED TO THE GRADUATE SCHOOL OFFICE NO LATER THAN </w:t>
      </w:r>
      <w:r w:rsidRPr="00EE734C">
        <w:rPr>
          <w:rFonts w:ascii="Arial" w:hAnsi="Arial" w:cs="Arial"/>
          <w:b/>
          <w:bCs/>
          <w:sz w:val="20"/>
          <w:szCs w:val="20"/>
          <w:u w:val="single"/>
        </w:rPr>
        <w:t>TWO MONTHS</w:t>
      </w:r>
      <w:r w:rsidRPr="00EE734C">
        <w:rPr>
          <w:rFonts w:ascii="Arial" w:hAnsi="Arial" w:cs="Arial"/>
          <w:b/>
          <w:bCs/>
          <w:sz w:val="20"/>
          <w:szCs w:val="20"/>
        </w:rPr>
        <w:t xml:space="preserve"> PRIOR TO THE UPGRADE VIVA.</w:t>
      </w:r>
    </w:p>
    <w:p w:rsidR="00BA5714" w:rsidRPr="00EE734C" w:rsidRDefault="00C171E0" w:rsidP="00C171E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E734C">
        <w:rPr>
          <w:rFonts w:ascii="Arial" w:hAnsi="Arial" w:cs="Arial"/>
          <w:b/>
          <w:bCs/>
          <w:sz w:val="20"/>
          <w:szCs w:val="20"/>
        </w:rPr>
        <w:t>For the timeframe in which your upgrade must take pl</w:t>
      </w:r>
      <w:r w:rsidR="00EE734C" w:rsidRPr="00EE734C">
        <w:rPr>
          <w:rFonts w:ascii="Arial" w:hAnsi="Arial" w:cs="Arial"/>
          <w:b/>
          <w:bCs/>
          <w:sz w:val="20"/>
          <w:szCs w:val="20"/>
        </w:rPr>
        <w:t>ace please refer to paragraph 65</w:t>
      </w:r>
      <w:r w:rsidR="006678A1" w:rsidRPr="00EE734C">
        <w:rPr>
          <w:rFonts w:ascii="Arial" w:hAnsi="Arial" w:cs="Arial"/>
          <w:b/>
          <w:bCs/>
          <w:sz w:val="20"/>
          <w:szCs w:val="20"/>
        </w:rPr>
        <w:t xml:space="preserve"> of the Code of Practice </w:t>
      </w:r>
      <w:proofErr w:type="gramStart"/>
      <w:r w:rsidR="006678A1" w:rsidRPr="00EE734C">
        <w:rPr>
          <w:rFonts w:ascii="Arial" w:hAnsi="Arial" w:cs="Arial"/>
          <w:b/>
          <w:bCs/>
          <w:sz w:val="20"/>
          <w:szCs w:val="20"/>
        </w:rPr>
        <w:t xml:space="preserve">( </w:t>
      </w:r>
      <w:proofErr w:type="gramEnd"/>
      <w:hyperlink r:id="rId5" w:history="1">
        <w:r w:rsidR="006678A1" w:rsidRPr="00EE734C">
          <w:rPr>
            <w:rStyle w:val="Hyperlink"/>
            <w:rFonts w:ascii="Arial" w:hAnsi="Arial" w:cs="Arial"/>
            <w:b/>
            <w:bCs/>
            <w:sz w:val="20"/>
            <w:szCs w:val="20"/>
          </w:rPr>
          <w:t>http://www.calenda</w:t>
        </w:r>
        <w:r w:rsidR="006678A1" w:rsidRPr="00EE734C">
          <w:rPr>
            <w:rStyle w:val="Hyperlink"/>
            <w:rFonts w:ascii="Arial" w:hAnsi="Arial" w:cs="Arial"/>
            <w:b/>
            <w:bCs/>
            <w:sz w:val="20"/>
            <w:szCs w:val="20"/>
          </w:rPr>
          <w:t>r</w:t>
        </w:r>
        <w:r w:rsidR="006678A1" w:rsidRPr="00EE734C">
          <w:rPr>
            <w:rStyle w:val="Hyperlink"/>
            <w:rFonts w:ascii="Arial" w:hAnsi="Arial" w:cs="Arial"/>
            <w:b/>
            <w:bCs/>
            <w:sz w:val="20"/>
            <w:szCs w:val="20"/>
          </w:rPr>
          <w:t>.soton.ac.uk/sectionV/mphil-phd.html</w:t>
        </w:r>
      </w:hyperlink>
      <w:r w:rsidR="006678A1" w:rsidRPr="00EE734C">
        <w:rPr>
          <w:rFonts w:ascii="Arial" w:hAnsi="Arial" w:cs="Arial"/>
          <w:b/>
          <w:bCs/>
          <w:sz w:val="20"/>
          <w:szCs w:val="20"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6396"/>
      </w:tblGrid>
      <w:tr w:rsidR="005746F2" w:rsidRPr="00EE734C" w:rsidTr="005746F2">
        <w:tc>
          <w:tcPr>
            <w:tcW w:w="2660" w:type="dxa"/>
          </w:tcPr>
          <w:p w:rsidR="00BA5714" w:rsidRPr="00EE734C" w:rsidRDefault="00BA5714" w:rsidP="00AA7919">
            <w:pPr>
              <w:rPr>
                <w:rFonts w:ascii="Arial" w:hAnsi="Arial" w:cs="Arial"/>
                <w:sz w:val="20"/>
                <w:szCs w:val="20"/>
              </w:rPr>
            </w:pPr>
            <w:r w:rsidRPr="00EE734C">
              <w:rPr>
                <w:rFonts w:ascii="Arial" w:hAnsi="Arial" w:cs="Arial"/>
                <w:sz w:val="20"/>
                <w:szCs w:val="20"/>
              </w:rPr>
              <w:t>Name of Candidate</w:t>
            </w:r>
          </w:p>
        </w:tc>
        <w:tc>
          <w:tcPr>
            <w:tcW w:w="6582" w:type="dxa"/>
          </w:tcPr>
          <w:p w:rsidR="00BA5714" w:rsidRPr="00EE734C" w:rsidRDefault="00BA5714" w:rsidP="00AA7919">
            <w:pPr>
              <w:rPr>
                <w:rFonts w:ascii="Arial" w:hAnsi="Arial" w:cs="Arial"/>
                <w:sz w:val="20"/>
                <w:szCs w:val="20"/>
              </w:rPr>
            </w:pPr>
          </w:p>
          <w:p w:rsidR="00C261D8" w:rsidRPr="00EE734C" w:rsidRDefault="00C261D8" w:rsidP="00AA79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6F2" w:rsidRPr="00EE734C" w:rsidTr="005746F2">
        <w:tc>
          <w:tcPr>
            <w:tcW w:w="2660" w:type="dxa"/>
          </w:tcPr>
          <w:p w:rsidR="00BA5714" w:rsidRPr="00EE734C" w:rsidRDefault="00BA5714" w:rsidP="00AA7919">
            <w:pPr>
              <w:rPr>
                <w:rFonts w:ascii="Arial" w:hAnsi="Arial" w:cs="Arial"/>
                <w:sz w:val="20"/>
                <w:szCs w:val="20"/>
              </w:rPr>
            </w:pPr>
            <w:r w:rsidRPr="00EE734C">
              <w:rPr>
                <w:rFonts w:ascii="Arial" w:hAnsi="Arial" w:cs="Arial"/>
                <w:sz w:val="20"/>
                <w:szCs w:val="20"/>
              </w:rPr>
              <w:t>Candidate’s ID number</w:t>
            </w:r>
          </w:p>
        </w:tc>
        <w:tc>
          <w:tcPr>
            <w:tcW w:w="6582" w:type="dxa"/>
          </w:tcPr>
          <w:p w:rsidR="00BA5714" w:rsidRPr="00EE734C" w:rsidRDefault="00BA5714" w:rsidP="00AA7919">
            <w:pPr>
              <w:rPr>
                <w:rFonts w:ascii="Arial" w:hAnsi="Arial" w:cs="Arial"/>
                <w:sz w:val="20"/>
                <w:szCs w:val="20"/>
              </w:rPr>
            </w:pPr>
          </w:p>
          <w:p w:rsidR="00C261D8" w:rsidRPr="00EE734C" w:rsidRDefault="00C261D8" w:rsidP="00AA79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6F2" w:rsidRPr="00EE734C" w:rsidTr="005746F2">
        <w:tc>
          <w:tcPr>
            <w:tcW w:w="2660" w:type="dxa"/>
          </w:tcPr>
          <w:p w:rsidR="00BA5714" w:rsidRPr="00EE734C" w:rsidRDefault="00BA5714" w:rsidP="00AA7919">
            <w:pPr>
              <w:rPr>
                <w:rFonts w:ascii="Arial" w:hAnsi="Arial" w:cs="Arial"/>
                <w:sz w:val="20"/>
                <w:szCs w:val="20"/>
              </w:rPr>
            </w:pPr>
            <w:r w:rsidRPr="00EE734C">
              <w:rPr>
                <w:rFonts w:ascii="Arial" w:hAnsi="Arial" w:cs="Arial"/>
                <w:sz w:val="20"/>
                <w:szCs w:val="20"/>
              </w:rPr>
              <w:t>Date of upgrade viva</w:t>
            </w:r>
          </w:p>
        </w:tc>
        <w:tc>
          <w:tcPr>
            <w:tcW w:w="6582" w:type="dxa"/>
          </w:tcPr>
          <w:p w:rsidR="00BA5714" w:rsidRPr="00EE734C" w:rsidRDefault="00BA5714" w:rsidP="00AA7919">
            <w:pPr>
              <w:rPr>
                <w:rFonts w:ascii="Arial" w:hAnsi="Arial" w:cs="Arial"/>
                <w:sz w:val="20"/>
                <w:szCs w:val="20"/>
              </w:rPr>
            </w:pPr>
          </w:p>
          <w:p w:rsidR="00C261D8" w:rsidRPr="00EE734C" w:rsidRDefault="00C261D8" w:rsidP="00AA79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6F2" w:rsidRPr="00EE734C" w:rsidTr="005746F2">
        <w:tc>
          <w:tcPr>
            <w:tcW w:w="2660" w:type="dxa"/>
          </w:tcPr>
          <w:p w:rsidR="00BA5714" w:rsidRPr="00EE734C" w:rsidRDefault="00BA5714" w:rsidP="00AA7919">
            <w:pPr>
              <w:rPr>
                <w:rFonts w:ascii="Arial" w:hAnsi="Arial" w:cs="Arial"/>
                <w:sz w:val="20"/>
                <w:szCs w:val="20"/>
              </w:rPr>
            </w:pPr>
            <w:r w:rsidRPr="00EE734C">
              <w:rPr>
                <w:rFonts w:ascii="Arial" w:hAnsi="Arial" w:cs="Arial"/>
                <w:sz w:val="20"/>
                <w:szCs w:val="20"/>
              </w:rPr>
              <w:t>Time of upgrade viva</w:t>
            </w:r>
          </w:p>
        </w:tc>
        <w:tc>
          <w:tcPr>
            <w:tcW w:w="6582" w:type="dxa"/>
          </w:tcPr>
          <w:p w:rsidR="00BA5714" w:rsidRPr="00EE734C" w:rsidRDefault="00BA5714" w:rsidP="00AA7919">
            <w:pPr>
              <w:rPr>
                <w:rFonts w:ascii="Arial" w:hAnsi="Arial" w:cs="Arial"/>
                <w:sz w:val="20"/>
                <w:szCs w:val="20"/>
              </w:rPr>
            </w:pPr>
          </w:p>
          <w:p w:rsidR="00C261D8" w:rsidRPr="00EE734C" w:rsidRDefault="00C261D8" w:rsidP="00AA79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6F2" w:rsidRPr="00EE734C" w:rsidTr="005746F2">
        <w:tc>
          <w:tcPr>
            <w:tcW w:w="2660" w:type="dxa"/>
          </w:tcPr>
          <w:p w:rsidR="00BA5714" w:rsidRPr="00EE734C" w:rsidRDefault="00BA5714" w:rsidP="00AA7919">
            <w:pPr>
              <w:rPr>
                <w:rFonts w:ascii="Arial" w:hAnsi="Arial" w:cs="Arial"/>
                <w:sz w:val="20"/>
                <w:szCs w:val="20"/>
              </w:rPr>
            </w:pPr>
            <w:r w:rsidRPr="00EE734C">
              <w:rPr>
                <w:rFonts w:ascii="Arial" w:hAnsi="Arial" w:cs="Arial"/>
                <w:sz w:val="20"/>
                <w:szCs w:val="20"/>
              </w:rPr>
              <w:t>Venue for upgrade viva</w:t>
            </w:r>
          </w:p>
        </w:tc>
        <w:tc>
          <w:tcPr>
            <w:tcW w:w="6582" w:type="dxa"/>
          </w:tcPr>
          <w:p w:rsidR="00BA5714" w:rsidRPr="00EE734C" w:rsidRDefault="00BA5714" w:rsidP="00AA7919">
            <w:pPr>
              <w:rPr>
                <w:rFonts w:ascii="Arial" w:hAnsi="Arial" w:cs="Arial"/>
                <w:sz w:val="20"/>
                <w:szCs w:val="20"/>
              </w:rPr>
            </w:pPr>
          </w:p>
          <w:p w:rsidR="00C261D8" w:rsidRPr="00EE734C" w:rsidRDefault="00C261D8" w:rsidP="00AA79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5714" w:rsidRPr="005746F2" w:rsidRDefault="00BA5714" w:rsidP="007E04F4">
      <w:pPr>
        <w:pBdr>
          <w:bottom w:val="single" w:sz="12" w:space="1" w:color="auto"/>
        </w:pBdr>
        <w:rPr>
          <w:rFonts w:ascii="Lucida Sans" w:hAnsi="Lucida Sans"/>
          <w:sz w:val="20"/>
          <w:szCs w:val="20"/>
        </w:rPr>
      </w:pPr>
    </w:p>
    <w:p w:rsidR="00E73F39" w:rsidRPr="00EE734C" w:rsidRDefault="00562180" w:rsidP="00C261D8">
      <w:pPr>
        <w:rPr>
          <w:rFonts w:ascii="Arial" w:hAnsi="Arial" w:cs="Arial"/>
          <w:sz w:val="20"/>
          <w:szCs w:val="20"/>
        </w:rPr>
      </w:pPr>
      <w:r w:rsidRPr="00EE734C">
        <w:rPr>
          <w:rFonts w:ascii="Arial" w:hAnsi="Arial" w:cs="Arial"/>
          <w:b/>
          <w:bCs/>
          <w:sz w:val="20"/>
          <w:szCs w:val="20"/>
        </w:rPr>
        <w:t>Instructions:</w:t>
      </w:r>
      <w:r w:rsidR="006D49BD" w:rsidRPr="00EE734C">
        <w:rPr>
          <w:rFonts w:ascii="Arial" w:hAnsi="Arial" w:cs="Arial"/>
          <w:sz w:val="20"/>
          <w:szCs w:val="20"/>
        </w:rPr>
        <w:t xml:space="preserve"> Please </w:t>
      </w:r>
      <w:r w:rsidR="006678A1" w:rsidRPr="00EE734C">
        <w:rPr>
          <w:rFonts w:ascii="Arial" w:hAnsi="Arial" w:cs="Arial"/>
          <w:sz w:val="20"/>
          <w:szCs w:val="20"/>
        </w:rPr>
        <w:t>nominate two</w:t>
      </w:r>
      <w:r w:rsidRPr="00EE734C">
        <w:rPr>
          <w:rFonts w:ascii="Arial" w:hAnsi="Arial" w:cs="Arial"/>
          <w:sz w:val="20"/>
          <w:szCs w:val="20"/>
        </w:rPr>
        <w:t xml:space="preserve"> independent assessor</w:t>
      </w:r>
      <w:r w:rsidR="006678A1" w:rsidRPr="00EE734C">
        <w:rPr>
          <w:rFonts w:ascii="Arial" w:hAnsi="Arial" w:cs="Arial"/>
          <w:sz w:val="20"/>
          <w:szCs w:val="20"/>
        </w:rPr>
        <w:t>s</w:t>
      </w:r>
      <w:r w:rsidRPr="00EE734C">
        <w:rPr>
          <w:rFonts w:ascii="Arial" w:hAnsi="Arial" w:cs="Arial"/>
          <w:sz w:val="20"/>
          <w:szCs w:val="20"/>
        </w:rPr>
        <w:t xml:space="preserve"> for the upgrade examination. Th</w:t>
      </w:r>
      <w:r w:rsidR="006678A1" w:rsidRPr="00EE734C">
        <w:rPr>
          <w:rFonts w:ascii="Arial" w:hAnsi="Arial" w:cs="Arial"/>
          <w:sz w:val="20"/>
          <w:szCs w:val="20"/>
        </w:rPr>
        <w:t>e</w:t>
      </w:r>
      <w:r w:rsidR="006D49BD" w:rsidRPr="00EE734C">
        <w:rPr>
          <w:rFonts w:ascii="Arial" w:hAnsi="Arial" w:cs="Arial"/>
          <w:sz w:val="20"/>
          <w:szCs w:val="20"/>
        </w:rPr>
        <w:t>s</w:t>
      </w:r>
      <w:r w:rsidR="006678A1" w:rsidRPr="00EE734C">
        <w:rPr>
          <w:rFonts w:ascii="Arial" w:hAnsi="Arial" w:cs="Arial"/>
          <w:sz w:val="20"/>
          <w:szCs w:val="20"/>
        </w:rPr>
        <w:t>e</w:t>
      </w:r>
      <w:r w:rsidRPr="00EE734C">
        <w:rPr>
          <w:rFonts w:ascii="Arial" w:hAnsi="Arial" w:cs="Arial"/>
          <w:sz w:val="20"/>
          <w:szCs w:val="20"/>
        </w:rPr>
        <w:t xml:space="preserve"> </w:t>
      </w:r>
      <w:r w:rsidR="006678A1" w:rsidRPr="00EE734C">
        <w:rPr>
          <w:rFonts w:ascii="Arial" w:hAnsi="Arial" w:cs="Arial"/>
          <w:sz w:val="20"/>
          <w:szCs w:val="20"/>
        </w:rPr>
        <w:t xml:space="preserve">should be </w:t>
      </w:r>
      <w:r w:rsidRPr="00EE734C">
        <w:rPr>
          <w:rFonts w:ascii="Arial" w:hAnsi="Arial" w:cs="Arial"/>
          <w:sz w:val="20"/>
          <w:szCs w:val="20"/>
        </w:rPr>
        <w:t>member</w:t>
      </w:r>
      <w:r w:rsidR="006678A1" w:rsidRPr="00EE734C">
        <w:rPr>
          <w:rFonts w:ascii="Arial" w:hAnsi="Arial" w:cs="Arial"/>
          <w:sz w:val="20"/>
          <w:szCs w:val="20"/>
        </w:rPr>
        <w:t>s</w:t>
      </w:r>
      <w:r w:rsidRPr="00EE734C">
        <w:rPr>
          <w:rFonts w:ascii="Arial" w:hAnsi="Arial" w:cs="Arial"/>
          <w:sz w:val="20"/>
          <w:szCs w:val="20"/>
        </w:rPr>
        <w:t xml:space="preserve"> of Southampton academic staff who ha</w:t>
      </w:r>
      <w:r w:rsidR="006678A1" w:rsidRPr="00EE734C">
        <w:rPr>
          <w:rFonts w:ascii="Arial" w:hAnsi="Arial" w:cs="Arial"/>
          <w:sz w:val="20"/>
          <w:szCs w:val="20"/>
        </w:rPr>
        <w:t>ve</w:t>
      </w:r>
      <w:r w:rsidRPr="00EE734C">
        <w:rPr>
          <w:rFonts w:ascii="Arial" w:hAnsi="Arial" w:cs="Arial"/>
          <w:sz w:val="20"/>
          <w:szCs w:val="20"/>
        </w:rPr>
        <w:t xml:space="preserve"> had no direct involvement in the </w:t>
      </w:r>
      <w:r w:rsidR="000323A7" w:rsidRPr="00EE734C">
        <w:rPr>
          <w:rFonts w:ascii="Arial" w:hAnsi="Arial" w:cs="Arial"/>
          <w:sz w:val="20"/>
          <w:szCs w:val="20"/>
        </w:rPr>
        <w:t xml:space="preserve">candidate’s </w:t>
      </w:r>
      <w:r w:rsidRPr="00EE734C">
        <w:rPr>
          <w:rFonts w:ascii="Arial" w:hAnsi="Arial" w:cs="Arial"/>
          <w:sz w:val="20"/>
          <w:szCs w:val="20"/>
        </w:rPr>
        <w:t>research</w:t>
      </w:r>
      <w:r w:rsidR="006678A1" w:rsidRPr="00EE734C">
        <w:rPr>
          <w:rFonts w:ascii="Arial" w:hAnsi="Arial" w:cs="Arial"/>
          <w:sz w:val="20"/>
          <w:szCs w:val="20"/>
        </w:rPr>
        <w:t>.</w:t>
      </w:r>
      <w:r w:rsidRPr="00EE734C">
        <w:rPr>
          <w:rFonts w:ascii="Arial" w:hAnsi="Arial" w:cs="Arial"/>
          <w:sz w:val="20"/>
          <w:szCs w:val="20"/>
        </w:rPr>
        <w:t xml:space="preserve"> </w:t>
      </w:r>
      <w:r w:rsidR="00C261D8" w:rsidRPr="00EE734C">
        <w:rPr>
          <w:rFonts w:ascii="Arial" w:hAnsi="Arial" w:cs="Arial"/>
          <w:sz w:val="20"/>
          <w:szCs w:val="20"/>
        </w:rPr>
        <w:t>One of these members of staff shou</w:t>
      </w:r>
      <w:r w:rsidR="00EE734C" w:rsidRPr="00EE734C">
        <w:rPr>
          <w:rFonts w:ascii="Arial" w:hAnsi="Arial" w:cs="Arial"/>
          <w:sz w:val="20"/>
          <w:szCs w:val="20"/>
        </w:rPr>
        <w:t xml:space="preserve">ld act as Chair of the </w:t>
      </w:r>
      <w:r w:rsidR="00C261D8" w:rsidRPr="00EE734C">
        <w:rPr>
          <w:rFonts w:ascii="Arial" w:hAnsi="Arial" w:cs="Arial"/>
          <w:sz w:val="20"/>
          <w:szCs w:val="20"/>
        </w:rPr>
        <w:t>upgrade panel.</w:t>
      </w:r>
    </w:p>
    <w:p w:rsidR="00C261D8" w:rsidRPr="00EE734C" w:rsidRDefault="00C261D8" w:rsidP="00C261D8">
      <w:pPr>
        <w:rPr>
          <w:rFonts w:ascii="Arial" w:hAnsi="Arial" w:cs="Arial"/>
          <w:sz w:val="20"/>
          <w:szCs w:val="20"/>
        </w:rPr>
      </w:pPr>
      <w:r w:rsidRPr="00EE734C">
        <w:rPr>
          <w:rFonts w:ascii="Arial" w:hAnsi="Arial" w:cs="Arial"/>
          <w:sz w:val="20"/>
          <w:szCs w:val="20"/>
        </w:rPr>
        <w:t>A member of the supervisory team will normally be invited to attend as an observer; however research students can request the o</w:t>
      </w:r>
      <w:r w:rsidR="00EE734C" w:rsidRPr="00EE734C">
        <w:rPr>
          <w:rFonts w:ascii="Arial" w:hAnsi="Arial" w:cs="Arial"/>
          <w:sz w:val="20"/>
          <w:szCs w:val="20"/>
        </w:rPr>
        <w:t xml:space="preserve">pportunity to meet the </w:t>
      </w:r>
      <w:r w:rsidRPr="00EE734C">
        <w:rPr>
          <w:rFonts w:ascii="Arial" w:hAnsi="Arial" w:cs="Arial"/>
          <w:sz w:val="20"/>
          <w:szCs w:val="20"/>
        </w:rPr>
        <w:t xml:space="preserve">upgrade panel or committee without a supervisor being present. </w:t>
      </w:r>
    </w:p>
    <w:p w:rsidR="000323A7" w:rsidRPr="00EE734C" w:rsidRDefault="005746F2" w:rsidP="001970B8">
      <w:pPr>
        <w:rPr>
          <w:rFonts w:ascii="Arial" w:hAnsi="Arial" w:cs="Arial"/>
          <w:sz w:val="20"/>
          <w:szCs w:val="20"/>
        </w:rPr>
      </w:pPr>
      <w:r w:rsidRPr="00EE734C">
        <w:rPr>
          <w:rFonts w:ascii="Arial" w:hAnsi="Arial" w:cs="Arial"/>
          <w:b/>
          <w:bCs/>
          <w:sz w:val="20"/>
          <w:szCs w:val="20"/>
        </w:rPr>
        <w:t>Upg</w:t>
      </w:r>
      <w:r w:rsidR="0062637E" w:rsidRPr="00EE734C">
        <w:rPr>
          <w:rFonts w:ascii="Arial" w:hAnsi="Arial" w:cs="Arial"/>
          <w:b/>
          <w:bCs/>
          <w:sz w:val="20"/>
          <w:szCs w:val="20"/>
        </w:rPr>
        <w:t>rade Report:</w:t>
      </w:r>
      <w:r w:rsidR="0062637E" w:rsidRPr="00EE734C">
        <w:rPr>
          <w:rFonts w:ascii="Arial" w:hAnsi="Arial" w:cs="Arial"/>
          <w:sz w:val="20"/>
          <w:szCs w:val="20"/>
        </w:rPr>
        <w:t xml:space="preserve"> </w:t>
      </w:r>
      <w:r w:rsidR="00BA11D8" w:rsidRPr="00EE734C">
        <w:rPr>
          <w:rFonts w:ascii="Arial" w:hAnsi="Arial" w:cs="Arial"/>
          <w:sz w:val="20"/>
          <w:szCs w:val="20"/>
        </w:rPr>
        <w:t>Any member of the</w:t>
      </w:r>
      <w:r w:rsidR="00EE734C" w:rsidRPr="00EE734C">
        <w:rPr>
          <w:rFonts w:ascii="Arial" w:hAnsi="Arial" w:cs="Arial"/>
          <w:sz w:val="20"/>
          <w:szCs w:val="20"/>
        </w:rPr>
        <w:t xml:space="preserve"> upgrade panel</w:t>
      </w:r>
      <w:r w:rsidR="00BA11D8" w:rsidRPr="00EE734C">
        <w:rPr>
          <w:rFonts w:ascii="Arial" w:hAnsi="Arial" w:cs="Arial"/>
          <w:sz w:val="20"/>
          <w:szCs w:val="20"/>
        </w:rPr>
        <w:t xml:space="preserve"> may complete the Upgrade Form and Report but these must be approved by signature by all members of the panel/committee. The </w:t>
      </w:r>
      <w:r w:rsidR="001970B8" w:rsidRPr="00EE734C">
        <w:rPr>
          <w:rFonts w:ascii="Arial" w:hAnsi="Arial" w:cs="Arial"/>
          <w:sz w:val="20"/>
          <w:szCs w:val="20"/>
        </w:rPr>
        <w:t>Chair</w:t>
      </w:r>
      <w:r w:rsidR="00BA11D8" w:rsidRPr="00EE734C">
        <w:rPr>
          <w:rFonts w:ascii="Arial" w:hAnsi="Arial" w:cs="Arial"/>
          <w:sz w:val="20"/>
          <w:szCs w:val="20"/>
        </w:rPr>
        <w:t xml:space="preserve"> </w:t>
      </w:r>
      <w:r w:rsidR="001970B8" w:rsidRPr="00EE734C">
        <w:rPr>
          <w:rFonts w:ascii="Arial" w:hAnsi="Arial" w:cs="Arial"/>
          <w:sz w:val="20"/>
          <w:szCs w:val="20"/>
        </w:rPr>
        <w:t xml:space="preserve">must obtain both the independent assessors’ signatures and the main supervisor’s signature before returning </w:t>
      </w:r>
      <w:r w:rsidR="00BA11D8" w:rsidRPr="00EE734C">
        <w:rPr>
          <w:rFonts w:ascii="Arial" w:hAnsi="Arial" w:cs="Arial"/>
          <w:sz w:val="20"/>
          <w:szCs w:val="20"/>
        </w:rPr>
        <w:t xml:space="preserve">the </w:t>
      </w:r>
      <w:r w:rsidR="001970B8" w:rsidRPr="00EE734C">
        <w:rPr>
          <w:rFonts w:ascii="Arial" w:hAnsi="Arial" w:cs="Arial"/>
          <w:sz w:val="20"/>
          <w:szCs w:val="20"/>
        </w:rPr>
        <w:t xml:space="preserve">completed </w:t>
      </w:r>
      <w:r w:rsidR="00EE734C" w:rsidRPr="00EE734C">
        <w:rPr>
          <w:rFonts w:ascii="Arial" w:hAnsi="Arial" w:cs="Arial"/>
          <w:sz w:val="20"/>
          <w:szCs w:val="20"/>
        </w:rPr>
        <w:t>report to the Faculty</w:t>
      </w:r>
      <w:r w:rsidR="001970B8" w:rsidRPr="00EE734C">
        <w:rPr>
          <w:rFonts w:ascii="Arial" w:hAnsi="Arial" w:cs="Arial"/>
          <w:sz w:val="20"/>
          <w:szCs w:val="20"/>
        </w:rPr>
        <w:t xml:space="preserve"> Graduate School Office to be approved</w:t>
      </w:r>
      <w:r w:rsidR="00BA11D8" w:rsidRPr="00EE734C">
        <w:rPr>
          <w:rFonts w:ascii="Arial" w:hAnsi="Arial" w:cs="Arial"/>
          <w:sz w:val="20"/>
          <w:szCs w:val="20"/>
        </w:rPr>
        <w:t xml:space="preserve"> by the Director of the Faculty Graduate School.</w:t>
      </w:r>
      <w:r w:rsidR="0062637E" w:rsidRPr="00EE734C" w:rsidDel="0062637E">
        <w:rPr>
          <w:rFonts w:ascii="Arial" w:hAnsi="Arial" w:cs="Arial"/>
          <w:sz w:val="20"/>
          <w:szCs w:val="20"/>
        </w:rPr>
        <w:t xml:space="preserve"> </w:t>
      </w:r>
    </w:p>
    <w:p w:rsidR="000323A7" w:rsidRPr="00EE734C" w:rsidRDefault="000323A7" w:rsidP="00BA11D8">
      <w:pPr>
        <w:rPr>
          <w:rFonts w:ascii="Arial" w:hAnsi="Arial" w:cs="Arial"/>
          <w:i/>
          <w:iCs/>
          <w:sz w:val="20"/>
          <w:szCs w:val="20"/>
        </w:rPr>
      </w:pPr>
      <w:r w:rsidRPr="00EE734C">
        <w:rPr>
          <w:rFonts w:ascii="Arial" w:hAnsi="Arial" w:cs="Arial"/>
          <w:i/>
          <w:iCs/>
          <w:sz w:val="20"/>
          <w:szCs w:val="20"/>
        </w:rPr>
        <w:t xml:space="preserve">Please complete all sections below and </w:t>
      </w:r>
      <w:r w:rsidR="00BA11D8" w:rsidRPr="00EE734C">
        <w:rPr>
          <w:rFonts w:ascii="Arial" w:hAnsi="Arial" w:cs="Arial"/>
          <w:i/>
          <w:iCs/>
          <w:sz w:val="20"/>
          <w:szCs w:val="20"/>
        </w:rPr>
        <w:t>forwa</w:t>
      </w:r>
      <w:bookmarkStart w:id="0" w:name="_GoBack"/>
      <w:bookmarkEnd w:id="0"/>
      <w:r w:rsidR="00BA11D8" w:rsidRPr="00EE734C">
        <w:rPr>
          <w:rFonts w:ascii="Arial" w:hAnsi="Arial" w:cs="Arial"/>
          <w:i/>
          <w:iCs/>
          <w:sz w:val="20"/>
          <w:szCs w:val="20"/>
        </w:rPr>
        <w:t>rd by email to</w:t>
      </w:r>
      <w:r w:rsidRPr="00EE734C">
        <w:rPr>
          <w:rFonts w:ascii="Arial" w:hAnsi="Arial" w:cs="Arial"/>
          <w:i/>
          <w:iCs/>
          <w:sz w:val="20"/>
          <w:szCs w:val="20"/>
        </w:rPr>
        <w:t xml:space="preserve"> the</w:t>
      </w:r>
      <w:r w:rsidR="00BA11D8" w:rsidRPr="00EE734C">
        <w:rPr>
          <w:rFonts w:ascii="Arial" w:hAnsi="Arial" w:cs="Arial"/>
          <w:i/>
          <w:iCs/>
          <w:sz w:val="20"/>
          <w:szCs w:val="20"/>
        </w:rPr>
        <w:t xml:space="preserve"> Graduate School Office, the </w:t>
      </w:r>
      <w:r w:rsidR="001970B8" w:rsidRPr="00EE734C">
        <w:rPr>
          <w:rFonts w:ascii="Arial" w:hAnsi="Arial" w:cs="Arial"/>
          <w:i/>
          <w:iCs/>
          <w:sz w:val="20"/>
          <w:szCs w:val="20"/>
        </w:rPr>
        <w:t xml:space="preserve">independent </w:t>
      </w:r>
      <w:r w:rsidR="00BA11D8" w:rsidRPr="00EE734C">
        <w:rPr>
          <w:rFonts w:ascii="Arial" w:hAnsi="Arial" w:cs="Arial"/>
          <w:i/>
          <w:iCs/>
          <w:sz w:val="20"/>
          <w:szCs w:val="20"/>
        </w:rPr>
        <w:t>assessors and the student.</w:t>
      </w:r>
    </w:p>
    <w:p w:rsidR="00562180" w:rsidRPr="00EE734C" w:rsidRDefault="00562180" w:rsidP="0056218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5432"/>
      </w:tblGrid>
      <w:tr w:rsidR="005746F2" w:rsidRPr="00EE734C" w:rsidTr="00997B02">
        <w:tc>
          <w:tcPr>
            <w:tcW w:w="3652" w:type="dxa"/>
          </w:tcPr>
          <w:p w:rsidR="00562180" w:rsidRPr="00EE734C" w:rsidRDefault="006678A1" w:rsidP="00C261D8">
            <w:pPr>
              <w:rPr>
                <w:rFonts w:ascii="Arial" w:hAnsi="Arial" w:cs="Arial"/>
                <w:sz w:val="20"/>
                <w:szCs w:val="20"/>
              </w:rPr>
            </w:pPr>
            <w:r w:rsidRPr="00EE734C">
              <w:rPr>
                <w:rFonts w:ascii="Arial" w:hAnsi="Arial" w:cs="Arial"/>
                <w:sz w:val="20"/>
                <w:szCs w:val="20"/>
              </w:rPr>
              <w:t>1</w:t>
            </w:r>
            <w:r w:rsidRPr="00EE734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EE734C">
              <w:rPr>
                <w:rFonts w:ascii="Arial" w:hAnsi="Arial" w:cs="Arial"/>
                <w:sz w:val="20"/>
                <w:szCs w:val="20"/>
              </w:rPr>
              <w:t xml:space="preserve"> Independent </w:t>
            </w:r>
            <w:r w:rsidR="0062637E" w:rsidRPr="00EE734C">
              <w:rPr>
                <w:rFonts w:ascii="Arial" w:hAnsi="Arial" w:cs="Arial"/>
                <w:sz w:val="20"/>
                <w:szCs w:val="20"/>
              </w:rPr>
              <w:t>Asses</w:t>
            </w:r>
            <w:r w:rsidRPr="00EE734C">
              <w:rPr>
                <w:rFonts w:ascii="Arial" w:hAnsi="Arial" w:cs="Arial"/>
                <w:sz w:val="20"/>
                <w:szCs w:val="20"/>
              </w:rPr>
              <w:t>sor’s</w:t>
            </w:r>
            <w:r w:rsidR="00C261D8" w:rsidRPr="00EE73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734C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C261D8" w:rsidRPr="00EE734C" w:rsidRDefault="00C261D8" w:rsidP="00C261D8">
            <w:pPr>
              <w:rPr>
                <w:rFonts w:ascii="Arial" w:hAnsi="Arial" w:cs="Arial"/>
                <w:sz w:val="20"/>
                <w:szCs w:val="20"/>
              </w:rPr>
            </w:pPr>
            <w:r w:rsidRPr="00EE734C">
              <w:rPr>
                <w:rFonts w:ascii="Arial" w:hAnsi="Arial" w:cs="Arial"/>
                <w:sz w:val="20"/>
                <w:szCs w:val="20"/>
              </w:rPr>
              <w:t>(This person will act as Chair)</w:t>
            </w:r>
          </w:p>
          <w:p w:rsidR="00455BD8" w:rsidRPr="00EE734C" w:rsidRDefault="00455BD8" w:rsidP="006263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</w:tcPr>
          <w:p w:rsidR="00562180" w:rsidRPr="00EE734C" w:rsidRDefault="00562180" w:rsidP="00562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37E" w:rsidRPr="00EE734C" w:rsidTr="00997B02">
        <w:tc>
          <w:tcPr>
            <w:tcW w:w="3652" w:type="dxa"/>
          </w:tcPr>
          <w:p w:rsidR="006678A1" w:rsidRPr="00EE734C" w:rsidRDefault="006678A1" w:rsidP="006678A1">
            <w:pPr>
              <w:rPr>
                <w:rFonts w:ascii="Arial" w:hAnsi="Arial" w:cs="Arial"/>
                <w:sz w:val="20"/>
                <w:szCs w:val="20"/>
              </w:rPr>
            </w:pPr>
            <w:r w:rsidRPr="00EE734C">
              <w:rPr>
                <w:rFonts w:ascii="Arial" w:hAnsi="Arial" w:cs="Arial"/>
                <w:sz w:val="20"/>
                <w:szCs w:val="20"/>
              </w:rPr>
              <w:t>2</w:t>
            </w:r>
            <w:r w:rsidRPr="00EE734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EE734C">
              <w:rPr>
                <w:rFonts w:ascii="Arial" w:hAnsi="Arial" w:cs="Arial"/>
                <w:sz w:val="20"/>
                <w:szCs w:val="20"/>
              </w:rPr>
              <w:t xml:space="preserve"> Independent Assessor’s Name</w:t>
            </w:r>
          </w:p>
          <w:p w:rsidR="0062637E" w:rsidRPr="00EE734C" w:rsidRDefault="0062637E" w:rsidP="00BA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</w:tcPr>
          <w:p w:rsidR="0062637E" w:rsidRPr="00EE734C" w:rsidRDefault="0062637E" w:rsidP="00562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637E" w:rsidRPr="00EE734C" w:rsidRDefault="0062637E" w:rsidP="00562180">
      <w:pPr>
        <w:rPr>
          <w:rFonts w:ascii="Arial" w:hAnsi="Arial" w:cs="Arial"/>
          <w:sz w:val="20"/>
          <w:szCs w:val="20"/>
        </w:rPr>
      </w:pPr>
    </w:p>
    <w:sectPr w:rsidR="0062637E" w:rsidRPr="00EE7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F93"/>
    <w:multiLevelType w:val="hybridMultilevel"/>
    <w:tmpl w:val="8C68F5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80"/>
    <w:rsid w:val="000323A7"/>
    <w:rsid w:val="001970B8"/>
    <w:rsid w:val="003368A8"/>
    <w:rsid w:val="00341B4C"/>
    <w:rsid w:val="00357D17"/>
    <w:rsid w:val="00455BD8"/>
    <w:rsid w:val="00562180"/>
    <w:rsid w:val="005746F2"/>
    <w:rsid w:val="0062637E"/>
    <w:rsid w:val="006678A1"/>
    <w:rsid w:val="006D49BD"/>
    <w:rsid w:val="006D6407"/>
    <w:rsid w:val="007D7201"/>
    <w:rsid w:val="007E04F4"/>
    <w:rsid w:val="0098041C"/>
    <w:rsid w:val="00997B02"/>
    <w:rsid w:val="009F44A3"/>
    <w:rsid w:val="00A23EFB"/>
    <w:rsid w:val="00A801F1"/>
    <w:rsid w:val="00B802A4"/>
    <w:rsid w:val="00BA11D8"/>
    <w:rsid w:val="00BA5714"/>
    <w:rsid w:val="00C171E0"/>
    <w:rsid w:val="00C261D8"/>
    <w:rsid w:val="00C91F2A"/>
    <w:rsid w:val="00E73F39"/>
    <w:rsid w:val="00E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69089"/>
  <w15:docId w15:val="{30698FE8-F8E4-4DF3-A515-4ACE9FCD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4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9B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78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3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lendar.soton.ac.uk/sectionV/mphil-ph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Mountfort F.H.</dc:creator>
  <cp:lastModifiedBy>Sarony D.</cp:lastModifiedBy>
  <cp:revision>2</cp:revision>
  <cp:lastPrinted>2015-01-14T10:28:00Z</cp:lastPrinted>
  <dcterms:created xsi:type="dcterms:W3CDTF">2019-09-24T15:42:00Z</dcterms:created>
  <dcterms:modified xsi:type="dcterms:W3CDTF">2019-09-24T15:42:00Z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1862396493</vt:i4>
  </property>
  <property fmtid="{D5CDD505-2E9C-101B-9397-08002B2CF9AE}" pid="3" name="_NewReviewCycle">
    <vt:lpwstr/>
  </property>
  <property fmtid="{D5CDD505-2E9C-101B-9397-08002B2CF9AE}" pid="4" name="_EmailSubject">
    <vt:lpwstr>notification of upgrade</vt:lpwstr>
  </property>
  <property fmtid="{D5CDD505-2E9C-101B-9397-08002B2CF9AE}" pid="5" name="_AuthorEmail">
    <vt:lpwstr>air@soton.ac.uk</vt:lpwstr>
  </property>
  <property fmtid="{D5CDD505-2E9C-101B-9397-08002B2CF9AE}" pid="6" name="_AuthorEmailDisplayName">
    <vt:lpwstr>Reiter A.I.</vt:lpwstr>
  </property>
  <property fmtid="{D5CDD505-2E9C-101B-9397-08002B2CF9AE}" pid="7" name="_ReviewingToolsShownOnce">
    <vt:lpwstr/>
  </property>
</Properties>
</file>